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E69824" w14:textId="7310D04B" w:rsidR="00BB70EF" w:rsidRPr="00BB70EF" w:rsidRDefault="00380BE3" w:rsidP="00BB70EF">
      <w:pPr>
        <w:pStyle w:val="SemEspaamento"/>
        <w:rPr>
          <w:rFonts w:ascii="Cambria" w:hAnsi="Cambria" w:cstheme="majorHAnsi"/>
          <w:b/>
          <w:bCs/>
          <w:sz w:val="24"/>
          <w:szCs w:val="24"/>
          <w:lang w:eastAsia="pt-BR"/>
        </w:rPr>
      </w:pPr>
      <w:r w:rsidRPr="00BB70EF">
        <w:rPr>
          <w:rFonts w:ascii="Cambria" w:hAnsi="Cambria" w:cstheme="majorHAnsi"/>
          <w:b/>
          <w:bCs/>
          <w:sz w:val="24"/>
          <w:szCs w:val="24"/>
          <w:lang w:eastAsia="pt-BR"/>
        </w:rPr>
        <w:t>A</w:t>
      </w:r>
      <w:r w:rsidR="00570E48">
        <w:rPr>
          <w:rFonts w:ascii="Cambria" w:hAnsi="Cambria" w:cstheme="majorHAnsi"/>
          <w:b/>
          <w:bCs/>
          <w:sz w:val="24"/>
          <w:szCs w:val="24"/>
          <w:lang w:eastAsia="pt-BR"/>
        </w:rPr>
        <w:t>o</w:t>
      </w:r>
    </w:p>
    <w:p w14:paraId="3941868E" w14:textId="77777777" w:rsidR="00570E48" w:rsidRDefault="00570E48" w:rsidP="00EF1272">
      <w:pPr>
        <w:spacing w:before="100" w:beforeAutospacing="1" w:after="100" w:afterAutospacing="1" w:line="240" w:lineRule="auto"/>
        <w:jc w:val="both"/>
        <w:rPr>
          <w:rFonts w:ascii="Cambria" w:hAnsi="Cambria" w:cstheme="majorHAnsi"/>
          <w:b/>
          <w:bCs/>
          <w:sz w:val="24"/>
          <w:szCs w:val="24"/>
          <w:lang w:eastAsia="pt-BR"/>
        </w:rPr>
      </w:pPr>
      <w:r w:rsidRPr="00570E48">
        <w:rPr>
          <w:rFonts w:ascii="Cambria" w:hAnsi="Cambria" w:cstheme="majorHAnsi"/>
          <w:b/>
          <w:bCs/>
          <w:sz w:val="24"/>
          <w:szCs w:val="24"/>
          <w:lang w:eastAsia="pt-BR"/>
        </w:rPr>
        <w:t>CENTRO LOGÍSTICO DA AERONÁUTICA</w:t>
      </w:r>
    </w:p>
    <w:p w14:paraId="6E0230A6" w14:textId="64F400CE" w:rsidR="00570E48" w:rsidRPr="00570E48" w:rsidRDefault="00570E48" w:rsidP="00570E48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570E48">
        <w:rPr>
          <w:rFonts w:ascii="Cambria" w:eastAsia="Times New Roman" w:hAnsi="Cambria" w:cs="Calibri"/>
          <w:sz w:val="24"/>
          <w:szCs w:val="24"/>
        </w:rPr>
        <w:t>Pregão Eletrônico Nº 035/CELOG/2023</w:t>
      </w:r>
    </w:p>
    <w:p w14:paraId="15F1B1C8" w14:textId="651154ED" w:rsidR="002D736C" w:rsidRDefault="00570E48" w:rsidP="00570E48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Calibri"/>
          <w:sz w:val="24"/>
          <w:szCs w:val="24"/>
        </w:rPr>
      </w:pPr>
      <w:r w:rsidRPr="00570E48">
        <w:rPr>
          <w:rFonts w:ascii="Cambria" w:eastAsia="Times New Roman" w:hAnsi="Cambria" w:cs="Calibri"/>
          <w:sz w:val="24"/>
          <w:szCs w:val="24"/>
        </w:rPr>
        <w:t>Processo Administrativo n° 67101.002028/2023-19</w:t>
      </w:r>
    </w:p>
    <w:p w14:paraId="62818D43" w14:textId="77777777" w:rsidR="00570E48" w:rsidRDefault="00570E48" w:rsidP="00570E48">
      <w:pPr>
        <w:spacing w:before="100" w:beforeAutospacing="1" w:after="100" w:afterAutospacing="1" w:line="240" w:lineRule="auto"/>
        <w:jc w:val="both"/>
        <w:rPr>
          <w:rFonts w:ascii="Cambria" w:hAnsi="Cambria"/>
          <w:sz w:val="24"/>
          <w:szCs w:val="24"/>
        </w:rPr>
      </w:pPr>
    </w:p>
    <w:p w14:paraId="30E44808" w14:textId="4219C297" w:rsidR="00EF1272" w:rsidRPr="00EF1272" w:rsidRDefault="00EF1272" w:rsidP="00EF1272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8"/>
          <w:szCs w:val="28"/>
          <w:lang w:eastAsia="pt-BR"/>
          <w14:ligatures w14:val="none"/>
        </w:rPr>
      </w:pPr>
      <w:r w:rsidRPr="00EF1272">
        <w:rPr>
          <w:rFonts w:ascii="Cambria" w:hAnsi="Cambria"/>
          <w:sz w:val="24"/>
          <w:szCs w:val="24"/>
        </w:rPr>
        <w:t xml:space="preserve">A empresa </w:t>
      </w:r>
      <w:r w:rsidR="00283ABA">
        <w:rPr>
          <w:rFonts w:ascii="Cambria" w:hAnsi="Cambria"/>
          <w:b/>
          <w:bCs/>
          <w:sz w:val="24"/>
          <w:szCs w:val="24"/>
        </w:rPr>
        <w:t>xxxxxxxxxxxxxxxxxxxxxxxx</w:t>
      </w:r>
      <w:r w:rsidRPr="00EF1272">
        <w:rPr>
          <w:rFonts w:ascii="Cambria" w:hAnsi="Cambria"/>
          <w:sz w:val="24"/>
          <w:szCs w:val="24"/>
        </w:rPr>
        <w:t xml:space="preserve">, CNPJ </w:t>
      </w:r>
      <w:r w:rsidR="00283ABA">
        <w:rPr>
          <w:rFonts w:ascii="Cambria" w:hAnsi="Cambria"/>
          <w:sz w:val="24"/>
          <w:szCs w:val="24"/>
        </w:rPr>
        <w:t>xxxxxxxxxxxxxxxx</w:t>
      </w:r>
      <w:r w:rsidRPr="00EF1272">
        <w:rPr>
          <w:rFonts w:ascii="Cambria" w:hAnsi="Cambria"/>
          <w:sz w:val="24"/>
          <w:szCs w:val="24"/>
        </w:rPr>
        <w:t xml:space="preserve">, com sede no endereço </w:t>
      </w:r>
      <w:r w:rsidR="00283ABA">
        <w:rPr>
          <w:rFonts w:ascii="Cambria" w:hAnsi="Cambria"/>
          <w:sz w:val="24"/>
          <w:szCs w:val="24"/>
        </w:rPr>
        <w:t>xxxxxxxxxxxxxxxxxxxxxxxxxx</w:t>
      </w:r>
      <w:r w:rsidRPr="00EF1272">
        <w:rPr>
          <w:rFonts w:ascii="Cambria" w:hAnsi="Cambria"/>
          <w:sz w:val="24"/>
          <w:szCs w:val="24"/>
        </w:rPr>
        <w:t>, por intermédio de sua procuradora abaixo assinad</w:t>
      </w:r>
      <w:r w:rsidR="00866533">
        <w:rPr>
          <w:rFonts w:ascii="Cambria" w:hAnsi="Cambria"/>
          <w:sz w:val="24"/>
          <w:szCs w:val="24"/>
        </w:rPr>
        <w:t>o,</w:t>
      </w:r>
      <w:r w:rsidR="00866533" w:rsidRPr="00866533">
        <w:rPr>
          <w:rFonts w:ascii="Cambria" w:hAnsi="Cambria"/>
          <w:color w:val="000000"/>
          <w:sz w:val="24"/>
          <w:szCs w:val="24"/>
        </w:rPr>
        <w:t xml:space="preserve"> </w:t>
      </w:r>
      <w:r w:rsidR="00866533" w:rsidRPr="00492038">
        <w:rPr>
          <w:rFonts w:ascii="Cambria" w:hAnsi="Cambria"/>
          <w:color w:val="000000"/>
          <w:sz w:val="24"/>
          <w:szCs w:val="24"/>
        </w:rPr>
        <w:t>vem, com fulcro n</w:t>
      </w:r>
      <w:r w:rsidR="00570E48">
        <w:rPr>
          <w:rFonts w:ascii="Cambria" w:hAnsi="Cambria"/>
          <w:color w:val="000000"/>
          <w:sz w:val="24"/>
          <w:szCs w:val="24"/>
        </w:rPr>
        <w:t xml:space="preserve">o </w:t>
      </w:r>
      <w:r w:rsidR="00570E48" w:rsidRPr="00570E48">
        <w:rPr>
          <w:rFonts w:ascii="Cambria" w:hAnsi="Cambria"/>
          <w:color w:val="000000"/>
          <w:sz w:val="24"/>
          <w:szCs w:val="24"/>
        </w:rPr>
        <w:t>Art. 164</w:t>
      </w:r>
      <w:r w:rsidR="00570E48">
        <w:rPr>
          <w:rFonts w:ascii="Cambria" w:hAnsi="Cambria"/>
          <w:color w:val="000000"/>
          <w:sz w:val="24"/>
          <w:szCs w:val="24"/>
        </w:rPr>
        <w:t xml:space="preserve"> da</w:t>
      </w:r>
      <w:r w:rsidR="00866533" w:rsidRPr="00492038">
        <w:rPr>
          <w:rFonts w:ascii="Cambria" w:hAnsi="Cambria"/>
          <w:color w:val="000000"/>
          <w:sz w:val="24"/>
          <w:szCs w:val="24"/>
        </w:rPr>
        <w:t xml:space="preserve"> </w:t>
      </w:r>
      <w:r w:rsidR="00570E48" w:rsidRPr="00570E48">
        <w:rPr>
          <w:rFonts w:ascii="Cambria" w:hAnsi="Cambria"/>
          <w:color w:val="000000"/>
          <w:sz w:val="24"/>
          <w:szCs w:val="24"/>
          <w:shd w:val="clear" w:color="auto" w:fill="FFFFFF"/>
        </w:rPr>
        <w:t xml:space="preserve">Lei nº </w:t>
      </w:r>
      <w:r w:rsidR="00570E48" w:rsidRPr="00570E48">
        <w:rPr>
          <w:rFonts w:ascii="Cambria" w:hAnsi="Cambria"/>
          <w:b/>
          <w:bCs/>
          <w:color w:val="000000"/>
          <w:sz w:val="24"/>
          <w:szCs w:val="24"/>
          <w:shd w:val="clear" w:color="auto" w:fill="FFFFFF"/>
        </w:rPr>
        <w:t>14.133/2021</w:t>
      </w:r>
      <w:r w:rsidR="00866533" w:rsidRPr="00492038">
        <w:rPr>
          <w:rFonts w:ascii="Cambria" w:hAnsi="Cambria"/>
          <w:color w:val="000000"/>
          <w:sz w:val="24"/>
          <w:szCs w:val="24"/>
        </w:rPr>
        <w:t>,</w:t>
      </w:r>
      <w:r w:rsidR="00866533" w:rsidRPr="006312F0">
        <w:rPr>
          <w:rFonts w:ascii="Cambria" w:hAnsi="Cambria"/>
          <w:sz w:val="24"/>
          <w:szCs w:val="24"/>
        </w:rPr>
        <w:t xml:space="preserve"> apre</w:t>
      </w:r>
      <w:r w:rsidR="00866533">
        <w:rPr>
          <w:rFonts w:ascii="Cambria" w:hAnsi="Cambria"/>
          <w:sz w:val="24"/>
          <w:szCs w:val="24"/>
        </w:rPr>
        <w:t>sentar tempestivamente s</w:t>
      </w:r>
      <w:r w:rsidR="00866533" w:rsidRPr="006312F0">
        <w:rPr>
          <w:rFonts w:ascii="Cambria" w:hAnsi="Cambria"/>
          <w:sz w:val="24"/>
          <w:szCs w:val="24"/>
        </w:rPr>
        <w:t>u</w:t>
      </w:r>
      <w:r w:rsidR="00866533">
        <w:rPr>
          <w:rFonts w:ascii="Cambria" w:hAnsi="Cambria"/>
          <w:sz w:val="24"/>
          <w:szCs w:val="24"/>
        </w:rPr>
        <w:t>a</w:t>
      </w:r>
      <w:r w:rsidR="00866533" w:rsidRPr="006312F0">
        <w:rPr>
          <w:rFonts w:ascii="Cambria" w:hAnsi="Cambria"/>
          <w:b/>
          <w:sz w:val="24"/>
          <w:szCs w:val="24"/>
        </w:rPr>
        <w:t xml:space="preserve"> </w:t>
      </w:r>
      <w:r w:rsidR="00866533">
        <w:rPr>
          <w:rFonts w:ascii="Cambria" w:hAnsi="Cambria"/>
          <w:b/>
          <w:sz w:val="24"/>
          <w:szCs w:val="24"/>
        </w:rPr>
        <w:t xml:space="preserve">IMPUGNAÇÃO </w:t>
      </w:r>
      <w:r w:rsidR="00866533" w:rsidRPr="00E3767A">
        <w:rPr>
          <w:rFonts w:ascii="Cambria" w:hAnsi="Cambria"/>
          <w:b/>
          <w:sz w:val="24"/>
          <w:szCs w:val="24"/>
        </w:rPr>
        <w:t>AO EDITAL DE LICITAÇÃO</w:t>
      </w:r>
      <w:r w:rsidR="00866533" w:rsidRPr="006312F0">
        <w:rPr>
          <w:rFonts w:ascii="Cambria" w:hAnsi="Cambria"/>
          <w:b/>
          <w:sz w:val="24"/>
          <w:szCs w:val="24"/>
        </w:rPr>
        <w:t xml:space="preserve">, </w:t>
      </w:r>
      <w:r w:rsidR="00866533" w:rsidRPr="006312F0">
        <w:rPr>
          <w:rFonts w:ascii="Cambria" w:hAnsi="Cambria"/>
          <w:sz w:val="24"/>
          <w:szCs w:val="24"/>
        </w:rPr>
        <w:t>pelos motivos de fato e de direito a seguir aduzidos</w:t>
      </w:r>
      <w:r w:rsidR="00866533">
        <w:rPr>
          <w:rFonts w:ascii="Cambria" w:hAnsi="Cambria"/>
          <w:sz w:val="24"/>
          <w:szCs w:val="24"/>
        </w:rPr>
        <w:t>:</w:t>
      </w:r>
    </w:p>
    <w:p w14:paraId="2545E50A" w14:textId="77777777" w:rsidR="00EF1272" w:rsidRPr="00EF1272" w:rsidRDefault="00EF1272" w:rsidP="002B035A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EF127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PRELIMINARMENTE</w:t>
      </w:r>
    </w:p>
    <w:p w14:paraId="05708468" w14:textId="48021D68" w:rsidR="00EF1272" w:rsidRPr="00EF1272" w:rsidRDefault="00EF1272" w:rsidP="00EF1272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EF1272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A presente impugnação é tempestivamente apresentada, nos termos do art. 164, da Lei nº </w:t>
      </w:r>
      <w:r w:rsidR="00570E48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14.133/21</w:t>
      </w:r>
      <w:r w:rsidRPr="00EF1272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, pois foi protocolada no dia </w:t>
      </w:r>
      <w:r w:rsidR="00570E48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31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/10/2023</w:t>
      </w:r>
      <w:r w:rsidR="0053398E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.</w:t>
      </w:r>
    </w:p>
    <w:p w14:paraId="4894401B" w14:textId="5D0AB812" w:rsidR="00EF1272" w:rsidRPr="0026687F" w:rsidRDefault="002B035A" w:rsidP="001764C3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I - </w:t>
      </w:r>
      <w:r w:rsidR="00EF1272" w:rsidRPr="0026687F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DOS FATOS</w:t>
      </w:r>
    </w:p>
    <w:p w14:paraId="563DADDC" w14:textId="47BD6A81" w:rsidR="0026687F" w:rsidRPr="0026687F" w:rsidRDefault="0026687F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A impugnante vem, respeitosamente, impugnar os itens </w:t>
      </w:r>
      <w:r w:rsidR="00283ABA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xxxxxxxxxxxxxx</w:t>
      </w: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do Edital do Pregão Eletrônico nº </w:t>
      </w:r>
      <w:r w:rsidR="00283ABA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xxxxxxxxxxxxxxx</w:t>
      </w: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, por entender que estes estão totalmente direcionados para uma única marca, o que fere o princípio da competitividade e com consequente majoração dos custos.</w:t>
      </w:r>
    </w:p>
    <w:p w14:paraId="1743B973" w14:textId="77777777" w:rsidR="0026687F" w:rsidRPr="0026687F" w:rsidRDefault="0026687F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Ao especificar, de forma detalhada, a marca e o modelo das impressoras 3D que deverão ser ofertadas, o edital restringe a participação de empresas fabricantes nacionais e até mesmo importadoras de impressoras de qualidade similares ou superiores.</w:t>
      </w:r>
    </w:p>
    <w:p w14:paraId="1C2E332B" w14:textId="77777777" w:rsidR="0026687F" w:rsidRPr="0026687F" w:rsidRDefault="0026687F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Isso viola o princípio da competitividade, que exige que os certames sejam abertos a todos os interessados que preencham os requisitos estabelecidos no edital.</w:t>
      </w:r>
    </w:p>
    <w:p w14:paraId="336DA98D" w14:textId="77777777" w:rsidR="0026687F" w:rsidRPr="0026687F" w:rsidRDefault="0026687F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Ademais, o direcionamento de marcas pode levar a uma majoração dos custos, pois as empresas que se encontram em situação de monopólio ou oligopólio podem cobrar preços mais elevados.</w:t>
      </w:r>
    </w:p>
    <w:p w14:paraId="6D4C1138" w14:textId="10FA5862" w:rsidR="0026687F" w:rsidRDefault="0026687F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Neste sentido o</w:t>
      </w: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Tribunal de Contas da União (TCU) já decidiu pela ilegalidade d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a </w:t>
      </w: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indicação indevida de marca e consequente restrição indevida à competitividade em licitações públicas.</w:t>
      </w:r>
    </w:p>
    <w:p w14:paraId="4199FACF" w14:textId="77777777" w:rsidR="001764C3" w:rsidRDefault="001764C3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</w:p>
    <w:p w14:paraId="3095B511" w14:textId="77777777" w:rsidR="001764C3" w:rsidRPr="0026687F" w:rsidRDefault="001764C3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</w:p>
    <w:p w14:paraId="6D6F5AC5" w14:textId="77777777" w:rsidR="0026687F" w:rsidRDefault="0026687F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lastRenderedPageBreak/>
        <w:t>Em recente decisão (Acórdão nº 1.421/2023), o TCU afirmou que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:</w:t>
      </w:r>
    </w:p>
    <w:p w14:paraId="1A3D7932" w14:textId="71448A02" w:rsidR="0026687F" w:rsidRPr="0026687F" w:rsidRDefault="0026687F" w:rsidP="0026687F">
      <w:pPr>
        <w:spacing w:before="100" w:beforeAutospacing="1" w:after="100" w:afterAutospacing="1" w:line="240" w:lineRule="auto"/>
        <w:ind w:left="708"/>
        <w:jc w:val="both"/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  <w:t xml:space="preserve"> "o direcionamento de marcas em licitações públicas é vedado, pois viola os princípios da competitividade e da isonomia".</w:t>
      </w:r>
    </w:p>
    <w:p w14:paraId="26257538" w14:textId="16E34E79" w:rsidR="0026687F" w:rsidRPr="0026687F" w:rsidRDefault="0026687F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Já o</w:t>
      </w: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doutrinador Marçal Justen Filho afirma que "</w:t>
      </w:r>
      <w:r w:rsidRPr="0026687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  <w:t xml:space="preserve">o direcionamento de marcas em licitações públicas é </w:t>
      </w:r>
      <w:r w:rsidRPr="0026687F">
        <w:rPr>
          <w:rFonts w:ascii="Cambria" w:eastAsia="Times New Roman" w:hAnsi="Cambria" w:cs="Times New Roman"/>
          <w:b/>
          <w:bCs/>
          <w:i/>
          <w:iCs/>
          <w:kern w:val="0"/>
          <w:sz w:val="24"/>
          <w:szCs w:val="24"/>
          <w:lang w:eastAsia="pt-BR"/>
          <w14:ligatures w14:val="none"/>
        </w:rPr>
        <w:t>vedado</w:t>
      </w:r>
      <w:r w:rsidRPr="0026687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  <w:t>, pois viola o princípio da competitividade</w:t>
      </w: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".</w:t>
      </w:r>
    </w:p>
    <w:p w14:paraId="060EAB7B" w14:textId="15DE2AFA" w:rsidR="0026687F" w:rsidRDefault="0026687F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Bem como, o</w:t>
      </w: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professor Diogo de Figueiredo Moreira Neto também entende que </w:t>
      </w:r>
      <w:r w:rsidRPr="0026687F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  <w:t>"a especificação de marca ou modelo de produto em edital de licitação pública é vedada, salvo quando for justificada por peculiaridades técnicas ou quando houver inviabilidade de competição"</w:t>
      </w: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.</w:t>
      </w:r>
    </w:p>
    <w:p w14:paraId="080241D8" w14:textId="7FF97C35" w:rsidR="00C87965" w:rsidRPr="00C87965" w:rsidRDefault="00C87965" w:rsidP="00C87965">
      <w:pPr>
        <w:pStyle w:val="NormalWeb"/>
        <w:jc w:val="both"/>
        <w:rPr>
          <w:rFonts w:ascii="Cambria" w:hAnsi="Cambria"/>
        </w:rPr>
      </w:pPr>
      <w:r>
        <w:rPr>
          <w:rFonts w:ascii="Cambria" w:hAnsi="Cambria"/>
        </w:rPr>
        <w:t>Ademais, a</w:t>
      </w:r>
      <w:r w:rsidRPr="00C87965">
        <w:rPr>
          <w:rFonts w:ascii="Cambria" w:hAnsi="Cambria"/>
        </w:rPr>
        <w:t xml:space="preserve"> proibição de que a Administração dirija o procedimento licitatório de forma a escolher determinada marca é corolário do princípio da igualdade, assegurado pela Constituição Federal, art. 37, inc. XXI, e previsto na Lei </w:t>
      </w:r>
      <w:r w:rsidR="0041562B">
        <w:rPr>
          <w:rFonts w:ascii="Cambria" w:hAnsi="Cambria"/>
        </w:rPr>
        <w:t>14.133</w:t>
      </w:r>
      <w:r w:rsidRPr="00C87965">
        <w:rPr>
          <w:rFonts w:ascii="Cambria" w:hAnsi="Cambria"/>
        </w:rPr>
        <w:t>/</w:t>
      </w:r>
      <w:r w:rsidR="0041562B">
        <w:rPr>
          <w:rFonts w:ascii="Cambria" w:hAnsi="Cambria"/>
        </w:rPr>
        <w:t>21</w:t>
      </w:r>
      <w:r w:rsidRPr="00C87965">
        <w:rPr>
          <w:rFonts w:ascii="Cambria" w:hAnsi="Cambria"/>
        </w:rPr>
        <w:t xml:space="preserve">, art. </w:t>
      </w:r>
      <w:r w:rsidR="0041562B">
        <w:rPr>
          <w:rFonts w:ascii="Cambria" w:hAnsi="Cambria"/>
        </w:rPr>
        <w:t>5</w:t>
      </w:r>
      <w:r w:rsidRPr="00C87965">
        <w:rPr>
          <w:rFonts w:ascii="Cambria" w:hAnsi="Cambria"/>
        </w:rPr>
        <w:t>º. A</w:t>
      </w:r>
      <w:r>
        <w:rPr>
          <w:rFonts w:ascii="Cambria" w:hAnsi="Cambria"/>
        </w:rPr>
        <w:t>lém do mais</w:t>
      </w:r>
      <w:r w:rsidRPr="00C87965">
        <w:rPr>
          <w:rFonts w:ascii="Cambria" w:hAnsi="Cambria"/>
        </w:rPr>
        <w:t xml:space="preserve">, do próprio texto do legislador ordinário extrai-se que é vedada a inclusão nos instrumentos convocatórios de licitação de cláusulas que comprometam, restrinjam ou frustrem o caráter competitivo do certame (art. </w:t>
      </w:r>
      <w:r w:rsidR="0041562B">
        <w:rPr>
          <w:rFonts w:ascii="Cambria" w:hAnsi="Cambria"/>
        </w:rPr>
        <w:t>9</w:t>
      </w:r>
      <w:r w:rsidRPr="00C87965">
        <w:rPr>
          <w:rFonts w:ascii="Cambria" w:hAnsi="Cambria"/>
        </w:rPr>
        <w:t>º, inc. I</w:t>
      </w:r>
      <w:r w:rsidR="0041562B">
        <w:rPr>
          <w:rFonts w:ascii="Cambria" w:hAnsi="Cambria"/>
        </w:rPr>
        <w:t>, alínea a</w:t>
      </w:r>
      <w:r w:rsidRPr="00C87965">
        <w:rPr>
          <w:rFonts w:ascii="Cambria" w:hAnsi="Cambria"/>
        </w:rPr>
        <w:t>)</w:t>
      </w:r>
      <w:r>
        <w:rPr>
          <w:rFonts w:ascii="Cambria" w:hAnsi="Cambria"/>
        </w:rPr>
        <w:t>, senão vejamos:</w:t>
      </w:r>
    </w:p>
    <w:p w14:paraId="7CF35A78" w14:textId="77777777" w:rsidR="0041562B" w:rsidRPr="0041562B" w:rsidRDefault="0041562B" w:rsidP="0041562B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pt-BR"/>
          <w14:ligatures w14:val="none"/>
        </w:rPr>
      </w:pPr>
      <w:r w:rsidRPr="0041562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Art. 9º É vedado ao agente público designado para atuar na área de licitações e contratos, ressalvados os casos previstos em lei:</w:t>
      </w:r>
    </w:p>
    <w:p w14:paraId="1EE2A542" w14:textId="77777777" w:rsidR="0041562B" w:rsidRPr="0041562B" w:rsidRDefault="0041562B" w:rsidP="0041562B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9i"/>
      <w:bookmarkEnd w:id="0"/>
      <w:r w:rsidRPr="0041562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 - admitir, prever, incluir ou tolerar, nos atos que praticar, situações que:</w:t>
      </w:r>
    </w:p>
    <w:p w14:paraId="77EA8B99" w14:textId="77777777" w:rsidR="0041562B" w:rsidRPr="0041562B" w:rsidRDefault="0041562B" w:rsidP="0041562B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9ia"/>
      <w:bookmarkEnd w:id="1"/>
      <w:r w:rsidRPr="0041562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a) comprometam, restrinjam ou frustrem o caráter competitivo do processo licitatório, inclusive nos casos de participação de sociedades cooperativas;</w:t>
      </w:r>
    </w:p>
    <w:p w14:paraId="7BFA5661" w14:textId="77777777" w:rsidR="0041562B" w:rsidRPr="0041562B" w:rsidRDefault="0041562B" w:rsidP="0041562B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9ib"/>
      <w:bookmarkEnd w:id="2"/>
      <w:r w:rsidRPr="0041562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b) estabeleçam preferências ou distinções em razão da naturalidade, da sede ou do domicílio dos licitantes;</w:t>
      </w:r>
    </w:p>
    <w:p w14:paraId="4DD0B35C" w14:textId="77777777" w:rsidR="0041562B" w:rsidRPr="0041562B" w:rsidRDefault="0041562B" w:rsidP="0041562B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9ic"/>
      <w:bookmarkEnd w:id="3"/>
      <w:r w:rsidRPr="0041562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c) sejam impertinentes ou irrelevantes para o objeto específico do contrato;</w:t>
      </w:r>
    </w:p>
    <w:p w14:paraId="7B0FD729" w14:textId="44D26F67" w:rsidR="00C87965" w:rsidRDefault="001764C3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É importante ressaltar que as</w:t>
      </w:r>
      <w:r w:rsid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j</w:t>
      </w:r>
      <w:r w:rsidR="00C87965" w:rsidRP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ustificativas </w:t>
      </w:r>
      <w:r w:rsidR="00C87965" w:rsidRPr="001764C3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genéricas</w:t>
      </w:r>
      <w:r w:rsidR="00C87965" w:rsidRP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não são </w:t>
      </w:r>
      <w:r w:rsidR="00C87965" w:rsidRPr="001764C3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suficientes</w:t>
      </w:r>
      <w:r w:rsidR="00C87965" w:rsidRP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, por si sós, para autorizar que a Administração inclua em seu instrumento convocatório a preferência por tal ou qual marca. É necessário que a justificativa demonstre que </w:t>
      </w:r>
      <w:r w:rsidR="00C87965" w:rsidRPr="00C87965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só aquela marca</w:t>
      </w:r>
      <w:r w:rsidR="00C87965" w:rsidRP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ou bem com características exclusivas atende às necessidades específicas da Administração, perfeitamente individualizadas e demonstradas</w:t>
      </w:r>
      <w:r w:rsid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, o que não foi observado no ETP até porque não é a realidade, pois existem as marcas </w:t>
      </w:r>
      <w:r w:rsidR="00C87965" w:rsidRP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Creality e Gtmax </w:t>
      </w:r>
      <w:r w:rsid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que </w:t>
      </w:r>
      <w:r w:rsidR="00C87965" w:rsidRP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são superiores por exemplo</w:t>
      </w:r>
      <w:r w:rsid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.</w:t>
      </w:r>
    </w:p>
    <w:p w14:paraId="0BB40DB0" w14:textId="6D5FE177" w:rsidR="00C87965" w:rsidRDefault="00C87965" w:rsidP="0026687F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Neste sentido o TCU já decidiu em que </w:t>
      </w:r>
      <w:r w:rsidRP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havendo no mercado diversos modelos que atendam às necessidades da Administração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, deverá elaborar especificações técnicas </w:t>
      </w:r>
      <w:r w:rsidRPr="00C8796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de modo a evitar o direcionamento do certame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, senão vejamos:</w:t>
      </w:r>
    </w:p>
    <w:p w14:paraId="0E8D72AC" w14:textId="7A21F2EB" w:rsidR="00C87965" w:rsidRDefault="00C87965" w:rsidP="00C87965">
      <w:pPr>
        <w:spacing w:before="100" w:beforeAutospacing="1" w:after="100" w:afterAutospacing="1" w:line="240" w:lineRule="auto"/>
        <w:ind w:left="708"/>
        <w:jc w:val="both"/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</w:pPr>
      <w:r w:rsidRPr="00C87965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  <w:t xml:space="preserve">"Em licitações para aquisição de equipamentos, havendo no mercado diversos </w:t>
      </w:r>
      <w:r w:rsidRPr="00C87965">
        <w:rPr>
          <w:rFonts w:ascii="Cambria" w:eastAsia="Times New Roman" w:hAnsi="Cambria" w:cs="Times New Roman"/>
          <w:b/>
          <w:bCs/>
          <w:i/>
          <w:iCs/>
          <w:kern w:val="0"/>
          <w:sz w:val="24"/>
          <w:szCs w:val="24"/>
          <w:lang w:eastAsia="pt-BR"/>
          <w14:ligatures w14:val="none"/>
        </w:rPr>
        <w:t>modelos que atendam</w:t>
      </w:r>
      <w:r w:rsidRPr="00C87965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  <w:t xml:space="preserve"> às necessidades da Administração, deve o órgão licitante identificar um conjunto representativo desses modelos antes de elaborar as especificações técnicas e a cotação de preços, de modo a </w:t>
      </w:r>
      <w:r w:rsidRPr="00C87965">
        <w:rPr>
          <w:rFonts w:ascii="Cambria" w:eastAsia="Times New Roman" w:hAnsi="Cambria" w:cs="Times New Roman"/>
          <w:b/>
          <w:bCs/>
          <w:i/>
          <w:iCs/>
          <w:kern w:val="0"/>
          <w:sz w:val="24"/>
          <w:szCs w:val="24"/>
          <w:lang w:eastAsia="pt-BR"/>
          <w14:ligatures w14:val="none"/>
        </w:rPr>
        <w:t>evitar o direcionamento</w:t>
      </w:r>
      <w:r w:rsidRPr="00C87965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  <w:t xml:space="preserve"> do certame para marca ou modelo específicos e a caracterizar a realização de </w:t>
      </w:r>
      <w:r w:rsidRPr="00C87965">
        <w:rPr>
          <w:rFonts w:ascii="Cambria" w:eastAsia="Times New Roman" w:hAnsi="Cambria" w:cs="Times New Roman"/>
          <w:b/>
          <w:bCs/>
          <w:i/>
          <w:iCs/>
          <w:kern w:val="0"/>
          <w:sz w:val="24"/>
          <w:szCs w:val="24"/>
          <w:lang w:eastAsia="pt-BR"/>
          <w14:ligatures w14:val="none"/>
        </w:rPr>
        <w:t>ampla pesquisa de mercado</w:t>
      </w:r>
      <w:r w:rsidRPr="00C87965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  <w:t>." (Acórdão: 214/2020 - Plenário. Data da sessão: 05/02/2020. Relator: Aroldo Cedraz).</w:t>
      </w:r>
    </w:p>
    <w:p w14:paraId="314DD7F2" w14:textId="63D0BA49" w:rsidR="00805259" w:rsidRDefault="00805259" w:rsidP="0080525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Neste sentido, também temos o </w:t>
      </w:r>
      <w:r w:rsidRPr="00805259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ACÓRDÃO 2829/2015 </w:t>
      </w:r>
      <w:r w:rsidR="001764C3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do TCU 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no qual decidiu sobre a </w:t>
      </w:r>
      <w:r w:rsidRPr="00805259"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  <w:t>“existência de outras marcas e modelos que poderiam atender ao objeto”</w:t>
      </w:r>
      <w:r>
        <w:rPr>
          <w:rFonts w:ascii="Cambria" w:eastAsia="Times New Roman" w:hAnsi="Cambria" w:cs="Times New Roman"/>
          <w:i/>
          <w:iCs/>
          <w:kern w:val="0"/>
          <w:sz w:val="24"/>
          <w:szCs w:val="24"/>
          <w:lang w:eastAsia="pt-BR"/>
          <w14:ligatures w14:val="none"/>
        </w:rPr>
        <w:t>.</w:t>
      </w:r>
    </w:p>
    <w:p w14:paraId="12A30F2C" w14:textId="380E0655" w:rsidR="00805259" w:rsidRDefault="00805259" w:rsidP="0080525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Outra irregularidade do certame está na inclusão no sistema Comprasnet, pois o edital é regido pela Lei 14.133/21 porém está incluído no módulo antigo do Comprasnet no qual está regido pelo Decreto 10.024/19, vejamos:</w:t>
      </w:r>
    </w:p>
    <w:p w14:paraId="77FD51FE" w14:textId="50A48FAF" w:rsidR="00805259" w:rsidRPr="00805259" w:rsidRDefault="00805259" w:rsidP="0080525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noProof/>
        </w:rPr>
        <w:drawing>
          <wp:inline distT="0" distB="0" distL="0" distR="0" wp14:anchorId="54291998" wp14:editId="6DA1FD91">
            <wp:extent cx="5400040" cy="1615440"/>
            <wp:effectExtent l="0" t="0" r="0" b="3810"/>
            <wp:docPr id="913118706" name="Imagem 1" descr="Tex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118706" name="Imagem 1" descr="Texto&#10;&#10;Descrição gerada automa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6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AC4CA" w14:textId="3AD7B11C" w:rsidR="00805259" w:rsidRPr="0026687F" w:rsidRDefault="00805259" w:rsidP="0080525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Portanto o edital deverá ser reformulado em especial nas especificações técnicas dos itens 62 ao 65 e inserido no módulo novo do </w:t>
      </w:r>
      <w:r w:rsidR="001764C3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C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omprasnet, a fim de seguir os padrões da Lei 14.133/21.</w:t>
      </w:r>
    </w:p>
    <w:p w14:paraId="550B49D2" w14:textId="77777777" w:rsidR="0026687F" w:rsidRPr="00EF1272" w:rsidRDefault="0026687F" w:rsidP="002B035A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</w:p>
    <w:p w14:paraId="7B22B778" w14:textId="011C19FA" w:rsidR="00EF1272" w:rsidRPr="00EF1272" w:rsidRDefault="002B035A" w:rsidP="001764C3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II - </w:t>
      </w:r>
      <w:r w:rsidR="00EF1272" w:rsidRPr="00EF127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DO DIREITO</w:t>
      </w:r>
    </w:p>
    <w:p w14:paraId="7DE57B70" w14:textId="77EDAA38" w:rsidR="00EF1272" w:rsidRPr="00EF1272" w:rsidRDefault="00CB3091" w:rsidP="00EF1272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A Lei 14.133/21</w:t>
      </w:r>
      <w:r w:rsidR="00EF1272" w:rsidRPr="00EF1272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estabelece que as licitações públicas </w:t>
      </w:r>
      <w:r w:rsidRPr="00EF1272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se destinam</w:t>
      </w:r>
      <w:r w:rsidR="00EF1272" w:rsidRPr="00EF1272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a garantir a observância do princípio da isonomia, da seleção da proposta mais vantajosa para a administração.</w:t>
      </w:r>
    </w:p>
    <w:p w14:paraId="67BD79D6" w14:textId="77777777" w:rsidR="00EF1272" w:rsidRPr="00EF1272" w:rsidRDefault="00EF1272" w:rsidP="00EF1272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EF1272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O princípio da isonomia, previsto no art. 37, caput, da Constituição Federal, veda a discriminação entre os licitantes, garantindo que todos tenham condições iguais de participar do certame.</w:t>
      </w:r>
    </w:p>
    <w:p w14:paraId="00631E6C" w14:textId="58C271EE" w:rsidR="002B035A" w:rsidRPr="00EF1272" w:rsidRDefault="002B035A" w:rsidP="002B035A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2B035A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Dessa forma, qualquer exigência qualitativa ou quantitativa que, de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2B035A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algum modo, sob qualquer ângulo, restrinja a competitividade deve ser rechaçada.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2B035A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Inclusive, a mera omissão de informações essenciais poderá ensejar a nulidade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2B035A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do certame, como já deliberou o TCU (Acórdão 1556/2007 Plenário).</w:t>
      </w:r>
    </w:p>
    <w:p w14:paraId="277D4238" w14:textId="77777777" w:rsidR="00EF1272" w:rsidRPr="00EF1272" w:rsidRDefault="00EF1272" w:rsidP="00EF1272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EF1272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Nesse sentido, citam-se:</w:t>
      </w:r>
    </w:p>
    <w:p w14:paraId="00B2C470" w14:textId="7FB24E84" w:rsidR="00EF1272" w:rsidRDefault="00EF1272" w:rsidP="002B035A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EF127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Marcelo Alexandrino e Vicente Paulo:</w:t>
      </w:r>
      <w:r w:rsidRPr="00EF1272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"A licitação deve ser realizada de forma a assegurar a ampla participação dos interessados, para que empresas especializadas em cada setor possam participar." (Direito Administrativo Descomplicado, 2022, p. 450)</w:t>
      </w:r>
    </w:p>
    <w:p w14:paraId="5B6C9607" w14:textId="77777777" w:rsidR="002B035A" w:rsidRDefault="002B035A" w:rsidP="002B035A">
      <w:pPr>
        <w:adjustRightInd w:val="0"/>
        <w:rPr>
          <w:rFonts w:ascii="Cambria" w:hAnsi="Cambria"/>
          <w:sz w:val="24"/>
          <w:szCs w:val="24"/>
        </w:rPr>
      </w:pPr>
      <w:r>
        <w:rPr>
          <w:rFonts w:ascii="Cambria" w:hAnsi="Cambria"/>
        </w:rPr>
        <w:t xml:space="preserve">E </w:t>
      </w:r>
      <w:r>
        <w:rPr>
          <w:rFonts w:ascii="Cambria" w:hAnsi="Cambria"/>
          <w:sz w:val="24"/>
          <w:szCs w:val="24"/>
        </w:rPr>
        <w:t>d</w:t>
      </w:r>
      <w:r w:rsidRPr="00180076">
        <w:rPr>
          <w:rFonts w:ascii="Cambria" w:hAnsi="Cambria"/>
          <w:sz w:val="24"/>
          <w:szCs w:val="24"/>
        </w:rPr>
        <w:t xml:space="preserve">e acordo com o professor </w:t>
      </w:r>
      <w:r w:rsidRPr="002B035A">
        <w:rPr>
          <w:rFonts w:ascii="Cambria" w:hAnsi="Cambria"/>
          <w:b/>
          <w:bCs/>
          <w:sz w:val="24"/>
          <w:szCs w:val="24"/>
        </w:rPr>
        <w:t>Marçal Justen Filho</w:t>
      </w:r>
      <w:r w:rsidRPr="00180076">
        <w:rPr>
          <w:rFonts w:ascii="Cambria" w:hAnsi="Cambria"/>
          <w:sz w:val="24"/>
          <w:szCs w:val="24"/>
        </w:rPr>
        <w:t xml:space="preserve">, ao tratar do tema </w:t>
      </w:r>
      <w:r>
        <w:rPr>
          <w:rFonts w:ascii="Cambria" w:hAnsi="Cambria"/>
          <w:sz w:val="24"/>
          <w:szCs w:val="24"/>
        </w:rPr>
        <w:t>da isonomia</w:t>
      </w:r>
      <w:r w:rsidRPr="00180076">
        <w:rPr>
          <w:rFonts w:ascii="Cambria" w:hAnsi="Cambria"/>
          <w:sz w:val="24"/>
          <w:szCs w:val="24"/>
        </w:rPr>
        <w:t>, temos que:</w:t>
      </w:r>
    </w:p>
    <w:p w14:paraId="6FC47278" w14:textId="77777777" w:rsidR="002B035A" w:rsidRPr="00180076" w:rsidRDefault="002B035A" w:rsidP="002B035A">
      <w:pPr>
        <w:adjustRightInd w:val="0"/>
        <w:ind w:left="720"/>
        <w:jc w:val="both"/>
        <w:rPr>
          <w:rFonts w:ascii="Cambria" w:hAnsi="Cambria"/>
          <w:sz w:val="24"/>
          <w:szCs w:val="24"/>
        </w:rPr>
      </w:pPr>
      <w:r w:rsidRPr="00180076">
        <w:rPr>
          <w:rFonts w:ascii="Cambria" w:hAnsi="Cambria"/>
          <w:sz w:val="24"/>
          <w:szCs w:val="24"/>
        </w:rPr>
        <w:t>“</w:t>
      </w:r>
      <w:r>
        <w:rPr>
          <w:rFonts w:ascii="Cambria" w:hAnsi="Cambria"/>
          <w:sz w:val="24"/>
          <w:szCs w:val="24"/>
        </w:rPr>
        <w:t>No seu relacionamento com os particulares, a Administração Pública está subordinada constitucionalmente à observância da isonomia. A relevância da isonomia está prevista em diversos dispositivos constitucionais, tais como o art. 5º, caput e o art. 19, III. Mas o art. 37, XXi, expressamente determina que as contratações públicas serão promovidas de modo a assegurar a igualdade de condições de todos os concorrentes</w:t>
      </w:r>
      <w:r w:rsidRPr="00180076">
        <w:rPr>
          <w:rFonts w:ascii="Cambria" w:hAnsi="Cambria"/>
          <w:sz w:val="24"/>
          <w:szCs w:val="24"/>
        </w:rPr>
        <w:t>”. (JUSTEN FILHO, 2016, p. 93)</w:t>
      </w:r>
    </w:p>
    <w:p w14:paraId="56BAD1D1" w14:textId="6E246CC3" w:rsidR="00E37CF5" w:rsidRPr="00E37CF5" w:rsidRDefault="00E37CF5" w:rsidP="00E37CF5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E37CF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Tudo isso com vista ao </w:t>
      </w:r>
      <w:r w:rsidRPr="004051B5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Princípio da Competição</w:t>
      </w:r>
      <w:r w:rsidRPr="00E37CF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ou ampliação da disputa,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E37CF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norteador da elaboração do ato convocatório, que se relaciona à competitividade, às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E37CF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cláusulas assecuratórias da igualdade de condições a todos os concorrentes. Viés deste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E37CF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princípio na área econômica é o princípio da livre concorrência (inciso IV do art. 170 da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E37CF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Constituição Federal).</w:t>
      </w:r>
    </w:p>
    <w:p w14:paraId="59B1E13C" w14:textId="7A0A16FD" w:rsidR="00E37CF5" w:rsidRPr="00E37CF5" w:rsidRDefault="00E37CF5" w:rsidP="00E37CF5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E37CF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Assim, como a lei reprime o abuso do poder econômico que vise à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E37CF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denominação dos mercados e a eliminação da concorrência, a lei </w:t>
      </w:r>
      <w:r w:rsidR="00222CD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14.133/21 </w:t>
      </w:r>
      <w:r w:rsidRPr="00E37CF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e os demais atos</w:t>
      </w: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 xml:space="preserve"> </w:t>
      </w:r>
      <w:r w:rsidRPr="00E37CF5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normativos não podem limitar a competitividade na licitação.</w:t>
      </w:r>
    </w:p>
    <w:p w14:paraId="3982C5F6" w14:textId="77777777" w:rsidR="00FC3A02" w:rsidRDefault="00FC3A02" w:rsidP="00FC3A02">
      <w:pPr>
        <w:pStyle w:val="Default"/>
        <w:jc w:val="both"/>
        <w:rPr>
          <w:rFonts w:ascii="Cambria" w:eastAsia="Times New Roman" w:hAnsi="Cambria" w:cs="Calibri"/>
          <w:color w:val="auto"/>
        </w:rPr>
      </w:pPr>
    </w:p>
    <w:p w14:paraId="68F13D57" w14:textId="77777777" w:rsidR="00FC3A02" w:rsidRDefault="00FC3A02" w:rsidP="00FC3A02">
      <w:pPr>
        <w:pStyle w:val="Default"/>
        <w:jc w:val="both"/>
        <w:rPr>
          <w:rFonts w:ascii="Cambria" w:eastAsia="Times New Roman" w:hAnsi="Cambria" w:cs="Calibri"/>
          <w:color w:val="auto"/>
        </w:rPr>
      </w:pPr>
      <w:r>
        <w:rPr>
          <w:rFonts w:ascii="Cambria" w:eastAsia="Times New Roman" w:hAnsi="Cambria" w:cs="Calibri"/>
          <w:color w:val="auto"/>
        </w:rPr>
        <w:t>Conforme transcrevemos abaixo:</w:t>
      </w:r>
    </w:p>
    <w:p w14:paraId="09CB1DAE" w14:textId="77777777" w:rsidR="00FC3A02" w:rsidRDefault="00FC3A02" w:rsidP="00FC3A02">
      <w:pPr>
        <w:pStyle w:val="Default"/>
        <w:jc w:val="both"/>
        <w:rPr>
          <w:rFonts w:ascii="Cambria" w:eastAsia="Times New Roman" w:hAnsi="Cambria" w:cs="Calibri"/>
          <w:color w:val="auto"/>
        </w:rPr>
      </w:pPr>
    </w:p>
    <w:p w14:paraId="6976B868" w14:textId="77777777" w:rsidR="00222CDF" w:rsidRPr="00222CDF" w:rsidRDefault="00FC3A02" w:rsidP="00222CDF">
      <w:pPr>
        <w:pStyle w:val="NormalWeb"/>
        <w:spacing w:before="225" w:beforeAutospacing="0" w:after="225" w:afterAutospacing="0"/>
        <w:ind w:firstLine="570"/>
        <w:jc w:val="both"/>
        <w:rPr>
          <w:i/>
          <w:color w:val="000000"/>
          <w:sz w:val="27"/>
          <w:szCs w:val="27"/>
        </w:rPr>
      </w:pPr>
      <w:r w:rsidRPr="00222CDF">
        <w:rPr>
          <w:rFonts w:ascii="Cambria" w:hAnsi="Cambria" w:cs="Calibri"/>
          <w:i/>
        </w:rPr>
        <w:t>“...</w:t>
      </w:r>
      <w:r w:rsidR="00222CDF" w:rsidRPr="00222CDF">
        <w:rPr>
          <w:rFonts w:ascii="Arial" w:hAnsi="Arial" w:cs="Arial"/>
          <w:i/>
          <w:color w:val="000000"/>
          <w:sz w:val="20"/>
          <w:szCs w:val="20"/>
        </w:rPr>
        <w:t>Art. 11.</w:t>
      </w:r>
      <w:r w:rsidR="00222CDF" w:rsidRPr="00222CDF">
        <w:rPr>
          <w:rFonts w:ascii="Arial" w:hAnsi="Arial" w:cs="Arial"/>
          <w:b/>
          <w:bCs/>
          <w:i/>
          <w:color w:val="000000"/>
          <w:sz w:val="20"/>
          <w:szCs w:val="20"/>
        </w:rPr>
        <w:t> </w:t>
      </w:r>
      <w:r w:rsidR="00222CDF" w:rsidRPr="00222CDF">
        <w:rPr>
          <w:rFonts w:ascii="Arial" w:hAnsi="Arial" w:cs="Arial"/>
          <w:i/>
          <w:color w:val="000000"/>
          <w:sz w:val="20"/>
          <w:szCs w:val="20"/>
        </w:rPr>
        <w:t>O processo licitatório tem por objetivos:</w:t>
      </w:r>
    </w:p>
    <w:p w14:paraId="0A8D6658" w14:textId="77777777" w:rsidR="00222CDF" w:rsidRPr="00222CDF" w:rsidRDefault="00222CDF" w:rsidP="00222CDF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11i"/>
      <w:bookmarkEnd w:id="4"/>
      <w:r w:rsidRPr="00222CDF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pt-BR"/>
          <w14:ligatures w14:val="none"/>
        </w:rPr>
        <w:t>I - assegurar a seleção da proposta apta a gerar o resultado de contratação mais vantajoso para a Administração Pública, inclusive no que se refere ao ciclo de vida do objeto;</w:t>
      </w:r>
    </w:p>
    <w:p w14:paraId="6D9BFB68" w14:textId="77777777" w:rsidR="00222CDF" w:rsidRPr="00222CDF" w:rsidRDefault="00222CDF" w:rsidP="00222CDF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7"/>
          <w:szCs w:val="27"/>
          <w:lang w:eastAsia="pt-BR"/>
          <w14:ligatures w14:val="none"/>
        </w:rPr>
      </w:pPr>
      <w:bookmarkStart w:id="5" w:name="art11ii"/>
      <w:bookmarkEnd w:id="5"/>
      <w:r w:rsidRPr="00222CDF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pt-BR"/>
          <w14:ligatures w14:val="none"/>
        </w:rPr>
        <w:t>II - assegurar tratamento isonômico entre os licitantes, bem como a justa competição;</w:t>
      </w:r>
    </w:p>
    <w:p w14:paraId="1408C2E3" w14:textId="77777777" w:rsidR="00222CDF" w:rsidRPr="00222CDF" w:rsidRDefault="00222CDF" w:rsidP="00222CDF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7"/>
          <w:szCs w:val="27"/>
          <w:lang w:eastAsia="pt-BR"/>
          <w14:ligatures w14:val="none"/>
        </w:rPr>
      </w:pPr>
      <w:bookmarkStart w:id="6" w:name="art11iii"/>
      <w:bookmarkEnd w:id="6"/>
      <w:r w:rsidRPr="00222CDF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pt-BR"/>
          <w14:ligatures w14:val="none"/>
        </w:rPr>
        <w:t>III - evitar contratações com sobrepreço ou com preços manifestamente inexequíveis e superfaturamento na execução dos contratos;</w:t>
      </w:r>
    </w:p>
    <w:p w14:paraId="2F294CEB" w14:textId="77777777" w:rsidR="00222CDF" w:rsidRPr="00222CDF" w:rsidRDefault="00222CDF" w:rsidP="00222CDF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7"/>
          <w:szCs w:val="27"/>
          <w:lang w:eastAsia="pt-BR"/>
          <w14:ligatures w14:val="none"/>
        </w:rPr>
      </w:pPr>
      <w:bookmarkStart w:id="7" w:name="art11iv"/>
      <w:bookmarkEnd w:id="7"/>
      <w:r w:rsidRPr="00222CDF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pt-BR"/>
          <w14:ligatures w14:val="none"/>
        </w:rPr>
        <w:t>IV - incentivar a inovação e o desenvolvimento nacional sustentável.</w:t>
      </w:r>
    </w:p>
    <w:p w14:paraId="5E788DAA" w14:textId="77777777" w:rsidR="00222CDF" w:rsidRPr="00222CDF" w:rsidRDefault="00222CDF" w:rsidP="00222CDF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7"/>
          <w:szCs w:val="27"/>
          <w:lang w:eastAsia="pt-BR"/>
          <w14:ligatures w14:val="none"/>
        </w:rPr>
      </w:pPr>
      <w:bookmarkStart w:id="8" w:name="art11p"/>
      <w:bookmarkEnd w:id="8"/>
      <w:r w:rsidRPr="00222CDF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pt-BR"/>
          <w14:ligatures w14:val="none"/>
        </w:rPr>
        <w:t>Parágrafo único. A alta administração do órgão ou entidade é responsável pela governança das contratações e deve implementar processos e estruturas, inclusive de gestão de riscos e controles internos, para avaliar, direcionar e monitorar os processos licitatórios e os respectivos contratos, com o intuito de alcançar os objetivos estabelecidos no </w:t>
      </w:r>
      <w:r w:rsidRPr="00222CDF">
        <w:rPr>
          <w:rFonts w:ascii="Arial" w:eastAsia="Times New Roman" w:hAnsi="Arial" w:cs="Arial"/>
          <w:b/>
          <w:bCs/>
          <w:i/>
          <w:color w:val="000000"/>
          <w:kern w:val="0"/>
          <w:sz w:val="20"/>
          <w:szCs w:val="20"/>
          <w:lang w:eastAsia="pt-BR"/>
          <w14:ligatures w14:val="none"/>
        </w:rPr>
        <w:t>caput</w:t>
      </w:r>
      <w:r w:rsidRPr="00222CDF">
        <w:rPr>
          <w:rFonts w:ascii="Arial" w:eastAsia="Times New Roman" w:hAnsi="Arial" w:cs="Arial"/>
          <w:i/>
          <w:color w:val="000000"/>
          <w:kern w:val="0"/>
          <w:sz w:val="20"/>
          <w:szCs w:val="20"/>
          <w:lang w:eastAsia="pt-BR"/>
          <w14:ligatures w14:val="none"/>
        </w:rPr>
        <w:t> deste artigo, promover um ambiente íntegro e confiável, assegurar o alinhamento das contratações ao planejamento estratégico e às leis orçamentárias e promover eficiência, efetividade e eficácia em suas contratações.</w:t>
      </w:r>
    </w:p>
    <w:p w14:paraId="503E6557" w14:textId="51DF98BC" w:rsidR="00FC3A02" w:rsidRDefault="00FC3A02" w:rsidP="00FC3A02">
      <w:pPr>
        <w:pStyle w:val="Default"/>
        <w:ind w:left="708"/>
        <w:jc w:val="both"/>
        <w:rPr>
          <w:rFonts w:ascii="Cambria" w:eastAsia="Times New Roman" w:hAnsi="Cambria" w:cs="Calibri"/>
          <w:i/>
          <w:color w:val="auto"/>
        </w:rPr>
      </w:pPr>
    </w:p>
    <w:p w14:paraId="04C29F3D" w14:textId="77777777" w:rsidR="00FC3A02" w:rsidRDefault="00FC3A02" w:rsidP="00FC3A02">
      <w:pPr>
        <w:pStyle w:val="Default"/>
        <w:ind w:left="708"/>
        <w:jc w:val="both"/>
        <w:rPr>
          <w:rFonts w:ascii="Cambria" w:eastAsia="Times New Roman" w:hAnsi="Cambria" w:cs="Calibri"/>
          <w:i/>
          <w:color w:val="auto"/>
        </w:rPr>
      </w:pPr>
    </w:p>
    <w:p w14:paraId="2E90D179" w14:textId="77777777" w:rsidR="00222CDF" w:rsidRPr="0041562B" w:rsidRDefault="00222CDF" w:rsidP="00222CDF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pt-BR"/>
          <w14:ligatures w14:val="none"/>
        </w:rPr>
      </w:pPr>
      <w:r w:rsidRPr="0041562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Art. 9º É vedado ao agente público designado para atuar na área de licitações e contratos, ressalvados os casos previstos em lei:</w:t>
      </w:r>
    </w:p>
    <w:p w14:paraId="04C0D013" w14:textId="77777777" w:rsidR="00222CDF" w:rsidRPr="0041562B" w:rsidRDefault="00222CDF" w:rsidP="00222CDF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pt-BR"/>
          <w14:ligatures w14:val="none"/>
        </w:rPr>
      </w:pPr>
      <w:r w:rsidRPr="0041562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 - admitir, prever, incluir ou tolerar, nos atos que praticar, situações que:</w:t>
      </w:r>
    </w:p>
    <w:p w14:paraId="73FB1675" w14:textId="77777777" w:rsidR="00222CDF" w:rsidRPr="0041562B" w:rsidRDefault="00222CDF" w:rsidP="00222CDF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pt-BR"/>
          <w14:ligatures w14:val="none"/>
        </w:rPr>
      </w:pPr>
      <w:r w:rsidRPr="0041562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a) comprometam, restrinjam ou frustrem o caráter competitivo do processo licitatório, inclusive nos casos de participação de sociedades cooperativas;</w:t>
      </w:r>
    </w:p>
    <w:p w14:paraId="02997122" w14:textId="77777777" w:rsidR="00222CDF" w:rsidRPr="0041562B" w:rsidRDefault="00222CDF" w:rsidP="00222CDF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pt-BR"/>
          <w14:ligatures w14:val="none"/>
        </w:rPr>
      </w:pPr>
      <w:r w:rsidRPr="0041562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b) estabeleçam preferências ou distinções em razão da naturalidade, da sede ou do domicílio dos licitantes;</w:t>
      </w:r>
    </w:p>
    <w:p w14:paraId="5395C4BF" w14:textId="77777777" w:rsidR="00222CDF" w:rsidRPr="0041562B" w:rsidRDefault="00222CDF" w:rsidP="00222CDF">
      <w:pPr>
        <w:spacing w:before="225" w:after="225" w:line="240" w:lineRule="auto"/>
        <w:ind w:firstLine="57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7"/>
          <w:szCs w:val="27"/>
          <w:lang w:eastAsia="pt-BR"/>
          <w14:ligatures w14:val="none"/>
        </w:rPr>
      </w:pPr>
      <w:r w:rsidRPr="0041562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c) sejam impertinentes ou irrelevantes para o objeto específico do contrato;</w:t>
      </w:r>
    </w:p>
    <w:p w14:paraId="5545986F" w14:textId="77777777" w:rsidR="00FC3A02" w:rsidRDefault="00FC3A02" w:rsidP="00FC3A02">
      <w:pPr>
        <w:pStyle w:val="Default"/>
        <w:ind w:left="708"/>
        <w:jc w:val="both"/>
        <w:rPr>
          <w:rFonts w:ascii="Cambria" w:eastAsia="Times New Roman" w:hAnsi="Cambria" w:cs="Calibri"/>
          <w:i/>
          <w:color w:val="auto"/>
        </w:rPr>
      </w:pPr>
    </w:p>
    <w:p w14:paraId="5F09FF5D" w14:textId="06E35211" w:rsidR="00E37CF5" w:rsidRDefault="00C71671" w:rsidP="00E37CF5">
      <w:pPr>
        <w:pStyle w:val="Default"/>
        <w:jc w:val="both"/>
        <w:rPr>
          <w:rFonts w:ascii="Cambria" w:eastAsia="Times New Roman" w:hAnsi="Cambria" w:cs="Calibri"/>
          <w:iCs/>
          <w:color w:val="auto"/>
        </w:rPr>
      </w:pPr>
      <w:r>
        <w:rPr>
          <w:rFonts w:ascii="Cambria" w:eastAsia="Times New Roman" w:hAnsi="Cambria" w:cs="Calibri"/>
          <w:color w:val="auto"/>
        </w:rPr>
        <w:t>Portanto, a</w:t>
      </w:r>
      <w:r w:rsidR="00E37CF5">
        <w:rPr>
          <w:rFonts w:ascii="Cambria" w:eastAsia="Times New Roman" w:hAnsi="Cambria" w:cs="Calibri"/>
          <w:color w:val="auto"/>
        </w:rPr>
        <w:t xml:space="preserve">pós os fatos aqui elencados, reiteramos a solicitação da retificação do edital, </w:t>
      </w:r>
      <w:r w:rsidR="00E37CF5">
        <w:rPr>
          <w:rFonts w:ascii="Cambria" w:eastAsia="Times New Roman" w:hAnsi="Cambria" w:cs="Calibri"/>
          <w:iCs/>
          <w:color w:val="auto"/>
        </w:rPr>
        <w:t xml:space="preserve">no que tange </w:t>
      </w:r>
      <w:r w:rsidR="00805259" w:rsidRPr="00805259">
        <w:rPr>
          <w:rFonts w:ascii="Cambria" w:eastAsia="Times New Roman" w:hAnsi="Cambria" w:cs="Calibri"/>
          <w:iCs/>
          <w:color w:val="auto"/>
        </w:rPr>
        <w:t>as especificações técnicas dos itens 62 ao 65 e inserido no módulo novo do comprasnet, a fim de seguir os padrões da Lei 14.133/21.</w:t>
      </w:r>
    </w:p>
    <w:p w14:paraId="1D9683DB" w14:textId="77777777" w:rsidR="00E37CF5" w:rsidRDefault="00E37CF5" w:rsidP="00E37CF5">
      <w:pPr>
        <w:pStyle w:val="Default"/>
        <w:ind w:firstLine="720"/>
        <w:jc w:val="both"/>
        <w:rPr>
          <w:rFonts w:ascii="Cambria" w:eastAsia="Times New Roman" w:hAnsi="Cambria" w:cs="Calibri"/>
          <w:iCs/>
          <w:color w:val="auto"/>
        </w:rPr>
      </w:pPr>
    </w:p>
    <w:p w14:paraId="203E9F1E" w14:textId="77777777" w:rsidR="00E37CF5" w:rsidRPr="00E37CF5" w:rsidRDefault="00E37CF5" w:rsidP="00E37CF5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Calibri"/>
          <w:iCs/>
          <w:kern w:val="0"/>
          <w:sz w:val="24"/>
          <w:szCs w:val="24"/>
          <w14:ligatures w14:val="none"/>
        </w:rPr>
      </w:pPr>
    </w:p>
    <w:p w14:paraId="6526AF43" w14:textId="4E5E08F0" w:rsidR="00EF1272" w:rsidRDefault="002B035A" w:rsidP="002B035A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 xml:space="preserve">III - </w:t>
      </w:r>
      <w:r w:rsidR="00EF1272" w:rsidRPr="00EF127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DO PEDIDO</w:t>
      </w:r>
    </w:p>
    <w:p w14:paraId="6A2460AD" w14:textId="77777777" w:rsidR="00805259" w:rsidRPr="0026687F" w:rsidRDefault="00805259" w:rsidP="0080525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A impugnante acredita que a retificação do edital é necessária para garantir a competitividade e a isonomia no certame, o que é essencial para a obtenção do melhor preço para o objeto licitado.</w:t>
      </w:r>
    </w:p>
    <w:p w14:paraId="109DC20A" w14:textId="77777777" w:rsidR="00805259" w:rsidRPr="0026687F" w:rsidRDefault="00805259" w:rsidP="00805259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A impugnante coloca-se à disposição para quaisquer esclarecimentos que se fizerem necessários.</w:t>
      </w:r>
    </w:p>
    <w:p w14:paraId="3C654B9A" w14:textId="77777777" w:rsidR="004051B5" w:rsidRDefault="004051B5" w:rsidP="004051B5">
      <w:pPr>
        <w:pStyle w:val="Default"/>
        <w:jc w:val="both"/>
        <w:rPr>
          <w:rFonts w:ascii="Cambria" w:eastAsia="Times New Roman" w:hAnsi="Cambria" w:cs="Calibri"/>
          <w:b/>
          <w:bCs/>
          <w:color w:val="auto"/>
        </w:rPr>
      </w:pPr>
      <w:r>
        <w:rPr>
          <w:rFonts w:ascii="Cambria" w:eastAsia="Times New Roman" w:hAnsi="Cambria" w:cs="Calibri"/>
          <w:b/>
          <w:bCs/>
          <w:color w:val="auto"/>
        </w:rPr>
        <w:t>Ante o exposto, pedimos seja recebida a presente impugnação, com efeito para:</w:t>
      </w:r>
    </w:p>
    <w:p w14:paraId="151214E3" w14:textId="77777777" w:rsidR="004051B5" w:rsidRDefault="004051B5" w:rsidP="004051B5">
      <w:pPr>
        <w:pStyle w:val="Default"/>
        <w:jc w:val="both"/>
        <w:rPr>
          <w:rFonts w:ascii="Cambria" w:eastAsia="Times New Roman" w:hAnsi="Cambria" w:cs="Calibri"/>
          <w:b/>
          <w:bCs/>
          <w:color w:val="auto"/>
        </w:rPr>
      </w:pPr>
    </w:p>
    <w:p w14:paraId="29659A6A" w14:textId="77777777" w:rsidR="00805259" w:rsidRPr="0026687F" w:rsidRDefault="00805259" w:rsidP="00805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Que o Pregoeiro do Pregão Eletrônico nº 035/CELOG/2023 retifique os itens 62 ao 65 do edital, de forma a permitir a participação de empresas fabricantes nacionais e até mesmo importadoras de Impressoras 3D de qualidade similares ou superiores;</w:t>
      </w:r>
    </w:p>
    <w:p w14:paraId="39E1952C" w14:textId="77777777" w:rsidR="00805259" w:rsidRDefault="00805259" w:rsidP="00805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26687F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Que o descritivo dos itens 62 ao 65 do edital seja reformulado, determinando as configurações mínimas das impressoras e NÃO a marca.</w:t>
      </w:r>
    </w:p>
    <w:p w14:paraId="5E9A7CBF" w14:textId="7C8B29ED" w:rsidR="001764C3" w:rsidRPr="0026687F" w:rsidRDefault="001764C3" w:rsidP="0080525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Que o certame seja incluído no módulo novo do Comprasnet, a fim de garantir pleno atendimento a Lei 14.133/21 na qual é regida por este edital.</w:t>
      </w:r>
    </w:p>
    <w:p w14:paraId="387EDCF9" w14:textId="77777777" w:rsidR="0077031A" w:rsidRDefault="0077031A" w:rsidP="00EF1272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</w:p>
    <w:p w14:paraId="0E518634" w14:textId="2C8D017D" w:rsidR="00EF1272" w:rsidRDefault="00EF1272" w:rsidP="00EF1272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bookmarkStart w:id="9" w:name="_GoBack"/>
      <w:bookmarkEnd w:id="9"/>
      <w:r w:rsidRPr="00EF1272"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  <w:t>Assim, a presente impugnação tem por objetivo garantir a observância dos princípios basilares da Lei de Licitações, em especial o princípio da isonomia.</w:t>
      </w:r>
    </w:p>
    <w:p w14:paraId="689637D4" w14:textId="77777777" w:rsidR="00EF1272" w:rsidRPr="00EF1272" w:rsidRDefault="00EF1272" w:rsidP="00EF1272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  <w:r w:rsidRPr="00EF127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NESTES TERMOS,</w:t>
      </w:r>
    </w:p>
    <w:p w14:paraId="65E8B008" w14:textId="77777777" w:rsidR="00EF1272" w:rsidRDefault="00EF1272" w:rsidP="00EF1272">
      <w:pPr>
        <w:spacing w:before="100" w:beforeAutospacing="1" w:after="100" w:afterAutospacing="1" w:line="240" w:lineRule="auto"/>
        <w:jc w:val="both"/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EF1272">
        <w:rPr>
          <w:rFonts w:ascii="Cambria" w:eastAsia="Times New Roman" w:hAnsi="Cambria" w:cs="Times New Roman"/>
          <w:b/>
          <w:bCs/>
          <w:kern w:val="0"/>
          <w:sz w:val="24"/>
          <w:szCs w:val="24"/>
          <w:lang w:eastAsia="pt-BR"/>
          <w14:ligatures w14:val="none"/>
        </w:rPr>
        <w:t>Pede deferimento.</w:t>
      </w:r>
    </w:p>
    <w:p w14:paraId="15933FF8" w14:textId="77777777" w:rsidR="00EF1272" w:rsidRPr="00EF1272" w:rsidRDefault="00EF1272" w:rsidP="00EF1272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kern w:val="0"/>
          <w:sz w:val="24"/>
          <w:szCs w:val="24"/>
          <w:lang w:eastAsia="pt-BR"/>
          <w14:ligatures w14:val="none"/>
        </w:rPr>
      </w:pPr>
    </w:p>
    <w:p w14:paraId="5985046D" w14:textId="00005649" w:rsidR="00A44EED" w:rsidRPr="00283ABA" w:rsidRDefault="00283ABA" w:rsidP="00EF1272">
      <w:pPr>
        <w:jc w:val="center"/>
        <w:rPr>
          <w:rFonts w:ascii="Cambria" w:hAnsi="Cambria"/>
          <w:color w:val="FF0000"/>
        </w:rPr>
      </w:pPr>
      <w:r w:rsidRPr="00283ABA">
        <w:rPr>
          <w:rFonts w:ascii="Cambria" w:hAnsi="Cambria"/>
          <w:b/>
          <w:bCs/>
          <w:color w:val="FF0000"/>
          <w:sz w:val="24"/>
          <w:szCs w:val="24"/>
        </w:rPr>
        <w:t>Nome da empresa</w:t>
      </w:r>
    </w:p>
    <w:sectPr w:rsidR="00A44EED" w:rsidRPr="00283ABA" w:rsidSect="00EF1272">
      <w:headerReference w:type="default" r:id="rId8"/>
      <w:footerReference w:type="default" r:id="rId9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D6DAA" w14:textId="77777777" w:rsidR="00B877E8" w:rsidRDefault="00B877E8" w:rsidP="00EF1272">
      <w:pPr>
        <w:spacing w:after="0" w:line="240" w:lineRule="auto"/>
      </w:pPr>
      <w:r>
        <w:separator/>
      </w:r>
    </w:p>
  </w:endnote>
  <w:endnote w:type="continuationSeparator" w:id="0">
    <w:p w14:paraId="0D952623" w14:textId="77777777" w:rsidR="00B877E8" w:rsidRDefault="00B877E8" w:rsidP="00EF1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C5624" w14:textId="5470B324" w:rsidR="00EF1272" w:rsidRDefault="00283ABA" w:rsidP="00EF127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timbrado</w:t>
    </w:r>
  </w:p>
  <w:p w14:paraId="212FDB8C" w14:textId="77777777" w:rsidR="00EF1272" w:rsidRDefault="00EF12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A65E9" w14:textId="77777777" w:rsidR="00B877E8" w:rsidRDefault="00B877E8" w:rsidP="00EF1272">
      <w:pPr>
        <w:spacing w:after="0" w:line="240" w:lineRule="auto"/>
      </w:pPr>
      <w:r>
        <w:separator/>
      </w:r>
    </w:p>
  </w:footnote>
  <w:footnote w:type="continuationSeparator" w:id="0">
    <w:p w14:paraId="6C443AB6" w14:textId="77777777" w:rsidR="00B877E8" w:rsidRDefault="00B877E8" w:rsidP="00EF1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B4D53" w14:textId="64E13F47" w:rsidR="00EF1272" w:rsidRDefault="00283ABA" w:rsidP="00EF127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b/>
        <w:sz w:val="20"/>
        <w:szCs w:val="20"/>
      </w:rPr>
      <w:t>timbrado</w:t>
    </w:r>
  </w:p>
  <w:p w14:paraId="6FBD57A5" w14:textId="77777777" w:rsidR="00EF1272" w:rsidRDefault="00EF127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9299D"/>
    <w:multiLevelType w:val="multilevel"/>
    <w:tmpl w:val="3B8E3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150F5A"/>
    <w:multiLevelType w:val="multilevel"/>
    <w:tmpl w:val="57188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272"/>
    <w:rsid w:val="00014ED0"/>
    <w:rsid w:val="00066030"/>
    <w:rsid w:val="00080CC1"/>
    <w:rsid w:val="001764C3"/>
    <w:rsid w:val="001D5441"/>
    <w:rsid w:val="0020056A"/>
    <w:rsid w:val="00222CDF"/>
    <w:rsid w:val="0026687F"/>
    <w:rsid w:val="00283ABA"/>
    <w:rsid w:val="002B035A"/>
    <w:rsid w:val="002D736C"/>
    <w:rsid w:val="00380BE3"/>
    <w:rsid w:val="004051B5"/>
    <w:rsid w:val="0041562B"/>
    <w:rsid w:val="0053398E"/>
    <w:rsid w:val="00570E48"/>
    <w:rsid w:val="00667C66"/>
    <w:rsid w:val="0077031A"/>
    <w:rsid w:val="00805259"/>
    <w:rsid w:val="00866533"/>
    <w:rsid w:val="009549A5"/>
    <w:rsid w:val="00956E5F"/>
    <w:rsid w:val="00A04B89"/>
    <w:rsid w:val="00A44EED"/>
    <w:rsid w:val="00B877E8"/>
    <w:rsid w:val="00BB70EF"/>
    <w:rsid w:val="00C71671"/>
    <w:rsid w:val="00C87965"/>
    <w:rsid w:val="00CB3091"/>
    <w:rsid w:val="00CC044E"/>
    <w:rsid w:val="00CC0ABE"/>
    <w:rsid w:val="00DC6DED"/>
    <w:rsid w:val="00E37CF5"/>
    <w:rsid w:val="00EE4528"/>
    <w:rsid w:val="00EE723A"/>
    <w:rsid w:val="00EF1272"/>
    <w:rsid w:val="00F063DF"/>
    <w:rsid w:val="00F653D1"/>
    <w:rsid w:val="00F778DE"/>
    <w:rsid w:val="00FC3A02"/>
    <w:rsid w:val="00FE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C83B5"/>
  <w15:chartTrackingRefBased/>
  <w15:docId w15:val="{D3CBE93E-9717-4B0C-BBD4-F0407F62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1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EF1272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EF1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F1272"/>
  </w:style>
  <w:style w:type="paragraph" w:styleId="Rodap">
    <w:name w:val="footer"/>
    <w:basedOn w:val="Normal"/>
    <w:link w:val="RodapChar"/>
    <w:uiPriority w:val="99"/>
    <w:unhideWhenUsed/>
    <w:rsid w:val="00EF12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1272"/>
  </w:style>
  <w:style w:type="character" w:styleId="Hyperlink">
    <w:name w:val="Hyperlink"/>
    <w:basedOn w:val="Fontepargpadro"/>
    <w:uiPriority w:val="99"/>
    <w:unhideWhenUsed/>
    <w:rsid w:val="00EF1272"/>
    <w:rPr>
      <w:color w:val="0000FF"/>
      <w:u w:val="single"/>
    </w:rPr>
  </w:style>
  <w:style w:type="paragraph" w:styleId="SemEspaamento">
    <w:name w:val="No Spacing"/>
    <w:uiPriority w:val="1"/>
    <w:qFormat/>
    <w:rsid w:val="00380BE3"/>
    <w:pPr>
      <w:spacing w:after="0" w:line="240" w:lineRule="auto"/>
    </w:pPr>
  </w:style>
  <w:style w:type="paragraph" w:customStyle="1" w:styleId="Default">
    <w:name w:val="Default"/>
    <w:basedOn w:val="Normal"/>
    <w:rsid w:val="00E37CF5"/>
    <w:pPr>
      <w:autoSpaceDE w:val="0"/>
      <w:autoSpaceDN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7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5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1595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Longo</dc:creator>
  <cp:keywords>Start Licitações</cp:keywords>
  <dc:description/>
  <cp:lastModifiedBy>Bruno Garcia - Magna Licitações</cp:lastModifiedBy>
  <cp:revision>12</cp:revision>
  <cp:lastPrinted>2023-10-25T17:30:00Z</cp:lastPrinted>
  <dcterms:created xsi:type="dcterms:W3CDTF">2023-10-25T17:39:00Z</dcterms:created>
  <dcterms:modified xsi:type="dcterms:W3CDTF">2024-08-27T14:38:00Z</dcterms:modified>
</cp:coreProperties>
</file>